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2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638"/>
        <w:gridCol w:w="879"/>
        <w:gridCol w:w="3421"/>
        <w:gridCol w:w="33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lang w:val="en-US" w:eastAsia="zh-CN" w:bidi="ar"/>
              </w:rPr>
              <w:t>2026</w:t>
            </w:r>
            <w:r>
              <w:rPr>
                <w:rStyle w:val="5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2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2026年临聘人员经费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22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攀枝花市仁和生态环境局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221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3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53.72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221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3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53.72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221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3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总体目标</w:t>
            </w:r>
          </w:p>
        </w:tc>
        <w:tc>
          <w:tcPr>
            <w:tcW w:w="83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完成年度聘用人员工资发放、社保缴纳，确保各项工作正常开展。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7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7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聘用工作人员</w:t>
            </w:r>
          </w:p>
        </w:tc>
        <w:tc>
          <w:tcPr>
            <w:tcW w:w="3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13人，3444元/月/人(含单位部分社保)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7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保障环保工作正常运转</w:t>
            </w:r>
          </w:p>
        </w:tc>
        <w:tc>
          <w:tcPr>
            <w:tcW w:w="3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保障环保日常办公，确保环保各项工作正常开展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7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完成时间</w:t>
            </w:r>
          </w:p>
        </w:tc>
        <w:tc>
          <w:tcPr>
            <w:tcW w:w="3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2026年全年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7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聘用人员经费</w:t>
            </w:r>
          </w:p>
        </w:tc>
        <w:tc>
          <w:tcPr>
            <w:tcW w:w="3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53.72万元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6" w:hRule="atLeast"/>
        </w:trPr>
        <w:tc>
          <w:tcPr>
            <w:tcW w:w="7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3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保障聘用人员就业，提升生态环保服务水平</w:t>
            </w:r>
          </w:p>
        </w:tc>
        <w:tc>
          <w:tcPr>
            <w:tcW w:w="3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7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3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提高单位办公质量</w:t>
            </w:r>
          </w:p>
        </w:tc>
        <w:tc>
          <w:tcPr>
            <w:tcW w:w="3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7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工作人员满意度</w:t>
            </w:r>
          </w:p>
        </w:tc>
        <w:tc>
          <w:tcPr>
            <w:tcW w:w="3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</w:tbl>
    <w:p/>
    <w:p/>
    <w:p/>
    <w:p/>
    <w:p/>
    <w:tbl>
      <w:tblPr>
        <w:tblStyle w:val="2"/>
        <w:tblW w:w="9050" w:type="dxa"/>
        <w:tblInd w:w="11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917"/>
        <w:gridCol w:w="1150"/>
        <w:gridCol w:w="2817"/>
        <w:gridCol w:w="3383"/>
      </w:tblGrid>
      <w:tr>
        <w:trPr>
          <w:trHeight w:val="668" w:hRule="atLeast"/>
        </w:trPr>
        <w:tc>
          <w:tcPr>
            <w:tcW w:w="90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其他运转类项目支出绩效目标申报表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90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Style w:val="4"/>
              </w:rPr>
              <w:t>2026</w:t>
            </w:r>
            <w:r>
              <w:rPr>
                <w:rStyle w:val="5"/>
                <w:rFonts w:hint="eastAsia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8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仁和生态环境局办公用房租赁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8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预算单位</w:t>
            </w:r>
          </w:p>
        </w:tc>
        <w:tc>
          <w:tcPr>
            <w:tcW w:w="6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攀枝花市仁和生态环境局</w:t>
            </w:r>
          </w:p>
        </w:tc>
      </w:tr>
      <w:tr>
        <w:trPr>
          <w:trHeight w:val="381" w:hRule="atLeast"/>
        </w:trPr>
        <w:tc>
          <w:tcPr>
            <w:tcW w:w="285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项目资金</w:t>
            </w:r>
            <w:r>
              <w:rPr>
                <w:rFonts w:ascii="宋体" w:cs="Times New Roman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2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年度资金总额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:</w:t>
            </w:r>
          </w:p>
        </w:tc>
        <w:tc>
          <w:tcPr>
            <w:tcW w:w="3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23.00 </w:t>
            </w:r>
          </w:p>
        </w:tc>
      </w:tr>
      <w:tr>
        <w:trPr>
          <w:trHeight w:val="381" w:hRule="atLeast"/>
        </w:trPr>
        <w:tc>
          <w:tcPr>
            <w:tcW w:w="285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其中：财政拨款</w:t>
            </w:r>
          </w:p>
        </w:tc>
        <w:tc>
          <w:tcPr>
            <w:tcW w:w="3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23.00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85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其他资金</w:t>
            </w:r>
          </w:p>
        </w:tc>
        <w:tc>
          <w:tcPr>
            <w:tcW w:w="3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color w:val="FF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</w:trPr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cs="Times New Roman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  <w:t>总体目标</w:t>
            </w:r>
          </w:p>
        </w:tc>
        <w:tc>
          <w:tcPr>
            <w:tcW w:w="82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保障仁和生态环境局办公用房的正常使用，各项环保工作正常开展。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7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一级</w:t>
            </w:r>
            <w:r>
              <w:rPr>
                <w:rFonts w:ascii="宋体" w:cs="Times New Roman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指标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3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项目完成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2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租房面积</w:t>
            </w:r>
          </w:p>
        </w:tc>
        <w:tc>
          <w:tcPr>
            <w:tcW w:w="3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间办公室、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间档案室、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间会议室，共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542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平方米</w:t>
            </w:r>
          </w:p>
        </w:tc>
      </w:tr>
      <w:tr>
        <w:trPr>
          <w:trHeight w:val="814" w:hRule="atLeast"/>
        </w:trPr>
        <w:tc>
          <w:tcPr>
            <w:tcW w:w="7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2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房屋质量合格率</w:t>
            </w:r>
          </w:p>
        </w:tc>
        <w:tc>
          <w:tcPr>
            <w:tcW w:w="3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7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2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租赁时间</w:t>
            </w:r>
          </w:p>
        </w:tc>
        <w:tc>
          <w:tcPr>
            <w:tcW w:w="3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2026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年</w:t>
            </w:r>
          </w:p>
        </w:tc>
      </w:tr>
      <w:tr>
        <w:trPr>
          <w:trHeight w:val="705" w:hRule="atLeast"/>
        </w:trPr>
        <w:tc>
          <w:tcPr>
            <w:tcW w:w="7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租赁费</w:t>
            </w:r>
          </w:p>
        </w:tc>
        <w:tc>
          <w:tcPr>
            <w:tcW w:w="3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23.00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万元</w:t>
            </w:r>
          </w:p>
        </w:tc>
      </w:tr>
      <w:tr>
        <w:trPr>
          <w:trHeight w:val="901" w:hRule="atLeast"/>
        </w:trPr>
        <w:tc>
          <w:tcPr>
            <w:tcW w:w="7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项目效益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社会效益</w:t>
            </w:r>
            <w:r>
              <w:rPr>
                <w:rFonts w:ascii="宋体" w:cs="Times New Roman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指标</w:t>
            </w:r>
          </w:p>
        </w:tc>
        <w:tc>
          <w:tcPr>
            <w:tcW w:w="2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保障基础办公用房</w:t>
            </w:r>
          </w:p>
        </w:tc>
        <w:tc>
          <w:tcPr>
            <w:tcW w:w="3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解决办公场所，保障办公用房，满足正常工作运转，提升办公效率和工作质量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7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可持续影响</w:t>
            </w:r>
            <w:r>
              <w:rPr>
                <w:rFonts w:ascii="宋体" w:cs="Times New Roman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指标</w:t>
            </w:r>
          </w:p>
        </w:tc>
        <w:tc>
          <w:tcPr>
            <w:tcW w:w="2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持续租赁期限</w:t>
            </w:r>
          </w:p>
        </w:tc>
        <w:tc>
          <w:tcPr>
            <w:tcW w:w="3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该房租持续租赁，暂时考虑临时使用</w:t>
            </w: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.</w:t>
            </w:r>
          </w:p>
        </w:tc>
      </w:tr>
      <w:tr>
        <w:trPr>
          <w:trHeight w:val="1048" w:hRule="atLeast"/>
        </w:trPr>
        <w:tc>
          <w:tcPr>
            <w:tcW w:w="7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2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职工满意度</w:t>
            </w:r>
          </w:p>
        </w:tc>
        <w:tc>
          <w:tcPr>
            <w:tcW w:w="3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90%</w:t>
            </w:r>
          </w:p>
        </w:tc>
      </w:tr>
    </w:tbl>
    <w:p>
      <w:pPr>
        <w:rPr>
          <w:rFonts w:cs="Times New Roman"/>
        </w:rPr>
      </w:pPr>
    </w:p>
    <w:p/>
    <w:sectPr>
      <w:pgSz w:w="11906" w:h="16838"/>
      <w:pgMar w:top="1440" w:right="1800" w:bottom="1440" w:left="134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BC25BF"/>
    <w:rsid w:val="19CF311C"/>
    <w:rsid w:val="1F596FF9"/>
    <w:rsid w:val="569322EA"/>
    <w:rsid w:val="5A264C3E"/>
    <w:rsid w:val="68854C5A"/>
    <w:rsid w:val="6DBC25BF"/>
    <w:rsid w:val="773C7107"/>
    <w:rsid w:val="7CA8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1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2026-01-09T03:09:00Z</dcterms:created>
  <dc:creator>肖丽娇</dc:creator>
  <cp:lastModifiedBy>刘芸</cp:lastModifiedBy>
  <dcterms:modified xsi:type="dcterms:W3CDTF">2026-01-27T03:35:48Z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CEC35B24F1AA4E0D850107FA4706DF34_11</vt:lpwstr>
  </property>
  <property fmtid="{D5CDD505-2E9C-101B-9397-08002B2CF9AE}" pid="4" name="KSOTemplateDocerSaveRecord">
    <vt:lpwstr>eyJoZGlkIjoiNzYzY2UyN2UwNmI1MmYwMTc3ZGEzMzYxZGVkZDEwNTIiLCJ1c2VySWQiOiIxNzE4NDExNTc5In0=</vt:lpwstr>
  </property>
</Properties>
</file>